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922" w:rsidRPr="007B0922" w:rsidRDefault="007B0922" w:rsidP="007B0922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/>
          <w:iCs/>
          <w:color w:val="663333"/>
          <w:spacing w:val="15"/>
          <w:kern w:val="36"/>
          <w:sz w:val="36"/>
          <w:szCs w:val="36"/>
          <w:lang w:eastAsia="ru-RU"/>
        </w:rPr>
      </w:pPr>
      <w:r w:rsidRPr="007B0922">
        <w:rPr>
          <w:rFonts w:ascii="Times New Roman" w:eastAsia="Times New Roman" w:hAnsi="Times New Roman" w:cs="Times New Roman"/>
          <w:i/>
          <w:iCs/>
          <w:color w:val="663333"/>
          <w:spacing w:val="15"/>
          <w:kern w:val="36"/>
          <w:sz w:val="36"/>
          <w:szCs w:val="36"/>
          <w:lang w:eastAsia="ru-RU"/>
        </w:rPr>
        <w:t>Степени и периоды ОЛБ</w:t>
      </w:r>
    </w:p>
    <w:p w:rsidR="007B0922" w:rsidRPr="007B0922" w:rsidRDefault="007B0922" w:rsidP="007B0922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hyperlink r:id="rId5" w:history="1">
        <w:r w:rsidRPr="007B0922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Предыдущая</w:t>
        </w:r>
      </w:hyperlink>
      <w:hyperlink r:id="rId6" w:history="1">
        <w:r w:rsidRPr="007B0922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</w:t>
        </w:r>
      </w:hyperlink>
      <w:hyperlink r:id="rId7" w:history="1">
        <w:r w:rsidRPr="007B0922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4</w:t>
        </w:r>
      </w:hyperlink>
      <w:hyperlink r:id="rId8" w:history="1">
        <w:r w:rsidRPr="007B0922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5</w:t>
        </w:r>
      </w:hyperlink>
      <w:hyperlink r:id="rId9" w:history="1">
        <w:r w:rsidRPr="007B0922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6</w:t>
        </w:r>
      </w:hyperlink>
      <w:hyperlink r:id="rId10" w:history="1">
        <w:r w:rsidRPr="007B0922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7</w:t>
        </w:r>
      </w:hyperlink>
      <w:hyperlink r:id="rId11" w:history="1">
        <w:r w:rsidRPr="007B0922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8</w:t>
        </w:r>
      </w:hyperlink>
      <w:hyperlink r:id="rId12" w:history="1">
        <w:r w:rsidRPr="007B0922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9</w:t>
        </w:r>
      </w:hyperlink>
      <w:r w:rsidRPr="007B0922">
        <w:rPr>
          <w:rFonts w:ascii="Verdana" w:eastAsia="Times New Roman" w:hAnsi="Verdana" w:cs="Times New Roman"/>
          <w:b/>
          <w:bCs/>
          <w:color w:val="FF0000"/>
          <w:sz w:val="17"/>
          <w:szCs w:val="17"/>
          <w:lang w:eastAsia="ru-RU"/>
        </w:rPr>
        <w:t>10</w:t>
      </w:r>
      <w:hyperlink r:id="rId13" w:history="1">
        <w:r w:rsidRPr="007B0922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11</w:t>
        </w:r>
      </w:hyperlink>
      <w:hyperlink r:id="rId14" w:history="1">
        <w:r w:rsidRPr="007B0922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12</w:t>
        </w:r>
      </w:hyperlink>
      <w:hyperlink r:id="rId15" w:history="1">
        <w:r w:rsidRPr="007B0922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13</w:t>
        </w:r>
      </w:hyperlink>
      <w:hyperlink r:id="rId16" w:history="1">
        <w:r w:rsidRPr="007B0922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14</w:t>
        </w:r>
      </w:hyperlink>
      <w:hyperlink r:id="rId17" w:history="1">
        <w:r w:rsidRPr="007B0922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15</w:t>
        </w:r>
      </w:hyperlink>
      <w:hyperlink r:id="rId18" w:history="1">
        <w:r w:rsidRPr="007B0922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16</w:t>
        </w:r>
      </w:hyperlink>
      <w:hyperlink r:id="rId19" w:history="1">
        <w:r w:rsidRPr="007B0922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17</w:t>
        </w:r>
      </w:hyperlink>
      <w:hyperlink r:id="rId20" w:history="1">
        <w:r w:rsidRPr="007B0922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18</w:t>
        </w:r>
      </w:hyperlink>
      <w:hyperlink r:id="rId21" w:history="1">
        <w:r w:rsidRPr="007B0922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Следующая</w:t>
        </w:r>
      </w:hyperlink>
    </w:p>
    <w:p w:rsidR="007B0922" w:rsidRPr="007B0922" w:rsidRDefault="007B0922" w:rsidP="007B0922">
      <w:pPr>
        <w:shd w:val="clear" w:color="auto" w:fill="FFFFFF"/>
        <w:spacing w:after="24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B092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</w:p>
    <w:tbl>
      <w:tblPr>
        <w:tblpPr w:leftFromText="45" w:rightFromText="45" w:vertAnchor="text"/>
        <w:tblW w:w="4500" w:type="dxa"/>
        <w:tblCellSpacing w:w="75" w:type="dxa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253"/>
        <w:gridCol w:w="3247"/>
      </w:tblGrid>
      <w:tr w:rsidR="007B0922" w:rsidRPr="007B0922" w:rsidTr="007B0922">
        <w:trPr>
          <w:tblCellSpacing w:w="75" w:type="dxa"/>
        </w:trPr>
        <w:tc>
          <w:tcPr>
            <w:tcW w:w="0" w:type="auto"/>
            <w:vAlign w:val="center"/>
            <w:hideMark/>
          </w:tcPr>
          <w:p w:rsidR="007B0922" w:rsidRPr="007B0922" w:rsidRDefault="007B0922" w:rsidP="007B092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hideMark/>
          </w:tcPr>
          <w:p w:rsidR="007B0922" w:rsidRPr="007B0922" w:rsidRDefault="007B0922" w:rsidP="007B092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92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pict/>
            </w:r>
            <w:r w:rsidRPr="007B092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pict/>
            </w:r>
          </w:p>
        </w:tc>
      </w:tr>
    </w:tbl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Острая лучевая болезнь, возникает при однократном облучении в 100-200Р и выше. При этом 1 степень легкая (1-2 Гр), II средняя (2-4 Гр), III - тяжелая (4-6 Гр), и IY - крайне тяжелая (более 6 Гр).</w:t>
      </w:r>
    </w:p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 клиническом течении ЛБ выделяются 4 основных периода: начальный (первичная реакция), скрытый (мнимого благополучия), разгара и восстановления.</w:t>
      </w:r>
    </w:p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 зависимости от дозы первичная реакция наступает через несколько минут или несколько часов (2-5) после облучения. Чем больше доза, тем быстрее наступает первичная реакция. Наблюдается - головокружение, тошнота, рвота, общая слабость, шаткая походка.</w:t>
      </w:r>
    </w:p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Затем (через несколько часов или 1 сутки) наступает второй период, т.н. скрытый (мнимого благополучия), характеризующийся стиханием первичной реакции, общее состояние улучшается и внешних проявлений заболевания не наблюдается. Отмечаются изменения в крови, характеризующие степень развития заболевания (лимфопения, лейкопения). Продолжительность, в зависимости от дозы, от нескольких дней до 2-4 недель. При очень сильном облучении скрытый период может совсем отсутствовать.</w:t>
      </w:r>
    </w:p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Разгар ЛБ (2-3 недели) - головные боли, нарушение сна, лихорадка. Далее - желудочно-кишечные расстройства: тошнота, рвота, понос и как следствие истощение организма (потеря большого количества воды и солей). Характерные признаки - кровотечения вследствие нарушения проницаемости стенок сосудов, и некроз (омертвение ткани).</w:t>
      </w:r>
    </w:p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Повышение температуры тела свидетельствует о воспалительных процессах и инфекционных осложнениях, что является серьезной опасностью, т.к. резко снижена сопротивляемость организма. Данные период является определяющим. При благоприятном исходе на 4-6 неделе наступает период восстановления - симптомы болезни постепенно угасают.</w:t>
      </w:r>
    </w:p>
    <w:p w:rsidR="007B0922" w:rsidRPr="007B0922" w:rsidRDefault="007B0922" w:rsidP="007B0922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B092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7B0922">
        <w:rPr>
          <w:rFonts w:ascii="Times New Roman" w:eastAsia="Times New Roman" w:hAnsi="Times New Roman" w:cs="Times New Roman"/>
          <w:sz w:val="24"/>
          <w:szCs w:val="24"/>
          <w:lang w:eastAsia="ru-RU"/>
        </w:rPr>
        <w:pict/>
      </w:r>
      <w:r w:rsidRPr="007B0922">
        <w:rPr>
          <w:rFonts w:ascii="Times New Roman" w:eastAsia="Times New Roman" w:hAnsi="Times New Roman" w:cs="Times New Roman"/>
          <w:sz w:val="24"/>
          <w:szCs w:val="24"/>
          <w:lang w:eastAsia="ru-RU"/>
        </w:rPr>
        <w:pict/>
      </w:r>
    </w:p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Химическая опасность</w:t>
      </w:r>
    </w:p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Среди чрезвычайных ситуаций техногенного характера аварии на химически опасных объектах занимают одно из важнейших мест. Химизация промышленной индустрии во второй половине ХХ столетия обусловила возрастание техногенных опасностей, связанных с </w:t>
      </w: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химическими авариями, которые могут сопровождаться выбросами в атмосферу аварийно химически опасных веществ (АХОВ), значительным материальным ущербом и большими человеческими жертвами.</w:t>
      </w:r>
    </w:p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Территория, подвергшаяся заражению СДЯВ, на которой могут возникнуть или возникают массовые поражения людей, называется </w:t>
      </w:r>
      <w:r w:rsidRPr="007B092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очагом химического поражения</w:t>
      </w: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(ОХП).</w:t>
      </w:r>
    </w:p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Сильнодействующие ядовитые вещества</w:t>
      </w: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- это химические вещества или соединения, которые при проливе или выбросе в окружающую среду способны вызвать массовое поражение людей или животных, а также заражение воздуха, почвы, воды, растений и различных объектов выше установленных предельно допустимых значений.</w:t>
      </w:r>
    </w:p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Развитие очага химического заражения связано с высвобождением химической энергии:</w:t>
      </w:r>
    </w:p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 аварии с выбросом СДЯВ при их производственной переработке или хранении;</w:t>
      </w:r>
    </w:p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 аварии при траспортировке СДЯВ;</w:t>
      </w:r>
    </w:p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 распространении СДЯВ в процессе протекания химической реакции, начавшихся, в результате аварии;</w:t>
      </w:r>
    </w:p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 аварий с химическими боеприпасами;</w:t>
      </w:r>
    </w:p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 утрате источников СДЯВ</w:t>
      </w:r>
    </w:p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 применения химического оружия.</w:t>
      </w:r>
    </w:p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Химически опасный объект</w:t>
      </w: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(ХОО) — это объект, на котором хранят, перерабатывают, используют или транспортируют опасные химические вещества, при аварии на котором или при разрушении которого может произойти гибель или химическое заражение людей, сельскохозяйственных животных и растений, а также химическое заражение окружающей природной среды.</w:t>
      </w:r>
    </w:p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К ХОО относятся предприятия</w:t>
      </w: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химической, нефтеперерабатывающей, нефтехимической и других родственных им отраслей промышленности; предприятия, имеющие промышленные холодильные установки, в которых в качестве хладагента используется аммиак; водопроводные и очистные сооружения, на которых применяется хлор и другие предприятия</w:t>
      </w:r>
    </w:p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Существуют четыре категории степени опасности ХОО:</w:t>
      </w:r>
    </w:p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I — когда в зону возможного химического заражения попадает более 75 тыс. человек,</w:t>
      </w:r>
    </w:p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II — от 40 до 75 тыс. человек,</w:t>
      </w:r>
    </w:p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III — менее 40 тыс. человек,</w:t>
      </w:r>
    </w:p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IV — зона возможного химического заражения, не выходящая за пределы территории объекта или его санитарно-защитной зоны.</w:t>
      </w:r>
    </w:p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По степени воздействия на организм человека АХОВ подразделяются на 4 класса опасности</w:t>
      </w: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:</w:t>
      </w:r>
    </w:p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 — чрезвычайно опасные;</w:t>
      </w:r>
    </w:p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2 — высокоопасные;</w:t>
      </w:r>
    </w:p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3 — умеренно опасные;</w:t>
      </w:r>
    </w:p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4 — малоопасные.</w:t>
      </w:r>
    </w:p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 своим поражающим свойствам АХОВ неоднородны. В качестве их основного классификационного признака наиболее часто используется признак преимущественного синдрома, складывающегося при острой интоксикации человека.</w:t>
      </w:r>
    </w:p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Исходя их этого по характеру воздействия на организм человека все АХОВ условно делятся на следующие группы:</w:t>
      </w:r>
    </w:p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· вещества с преимущественно удушающим действием (хлор, фосген и др.);</w:t>
      </w:r>
    </w:p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· вещества преимущественно общеядовитого действия (окись углерода и др.);</w:t>
      </w:r>
    </w:p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· вещества, обладающие удушающим и общеядовитым действием (азотная кислота и окислы азота, сернистый ангидрид, фтористый водород и др.);</w:t>
      </w:r>
    </w:p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· вещества, обладающие удушающим и нейротропным действием (аммиак и др.);</w:t>
      </w:r>
    </w:p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· метаболические яды (окись этилена и др.);</w:t>
      </w:r>
    </w:p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· вещества, нарушающие обмен веществ (диоксины и др.).</w:t>
      </w:r>
    </w:p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АХОВ находятся в больших количествах на предприятиях, их производящих или потребляющих. На химически опасных предприятиях они являются исходным сырьем, промежуточными, побочными и конечными продуктами, а также растворителями и средствами обработки. Запасы этих веществ размещаются в хранилищах (до 70–80%), технологической аппаратуре, транспортных средствах (трубопроводы, цистерны и т. п.). Наиболее распространенными АХОВ </w:t>
      </w: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являются сжиженные хлор и аммиак. На отдельных ХОО содержатся десятки тысяч тонн сжиженного аммиака и тысячи тонн сжиженного хлора. Кроме того, сотни тысяч тонн АХОВ транспортируются круглосуточно железнодорожным и трубопроводным транспортом.</w:t>
      </w:r>
    </w:p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Зона химического заражения</w:t>
      </w: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— территория и акватория, в пределах которой распространены или куда привнесены опасные химические вещества в концентрациях или количествах, создающих опасность для жизни и здоровья людей, для сельскохозяйственных животных и растений в течение определенного времени.</w:t>
      </w:r>
    </w:p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 зоне химического заражения могут быть выделены составляющие ее зоны — зона смертельных токсодоз (зона чрезвычайно опасного заражения), зона поражающих токсодоз (зона опасного заражения) и зона дискомфорта (пороговая зона, зона заражения).</w:t>
      </w:r>
    </w:p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 внешней границе зоны смертельных токсодоз 50% людей получают смертельную токсодозу. На внешней границе поражающих токсодоз 50% людей получают поражающую токсодозу. На внешней границе дискомфортной зоны люди испытывают дискомфорт, начинается обострение хронических заболеваний или появляются первые признаки интоксикации.</w:t>
      </w:r>
    </w:p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 очаге химического заражения происходят массовые поражения людей, сельскохозяйственных животных и растений.</w:t>
      </w:r>
    </w:p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При авариях на химически опасных объектах может действовать комплекс поражающих факторов: непосредственно на объекте аварии — токсическое воздействие АХОВ, ударная волна при наличии взрыва, тепловое воздействие и воздействие продуктами сгорания при пожаре; вне объекта аварии — в районах распространения зараженного воздуха только токсическое воздействие как результат химического заражения окружающей среды. Основным поражающим фактором является токсическое воздействие АХОВ.</w:t>
      </w:r>
    </w:p>
    <w:p w:rsidR="00FC73FD" w:rsidRDefault="00BB6D2D"/>
    <w:p w:rsidR="007B0922" w:rsidRPr="007B0922" w:rsidRDefault="007B0922" w:rsidP="007B0922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/>
          <w:iCs/>
          <w:color w:val="663333"/>
          <w:spacing w:val="15"/>
          <w:kern w:val="36"/>
          <w:sz w:val="36"/>
          <w:szCs w:val="36"/>
          <w:lang w:eastAsia="ru-RU"/>
        </w:rPr>
      </w:pPr>
      <w:r w:rsidRPr="007B0922">
        <w:rPr>
          <w:rFonts w:ascii="Times New Roman" w:eastAsia="Times New Roman" w:hAnsi="Times New Roman" w:cs="Times New Roman"/>
          <w:i/>
          <w:iCs/>
          <w:color w:val="663333"/>
          <w:spacing w:val="15"/>
          <w:kern w:val="36"/>
          <w:sz w:val="36"/>
          <w:szCs w:val="36"/>
          <w:lang w:eastAsia="ru-RU"/>
        </w:rPr>
        <w:t>Оценка обстановки при авариях на ХОО</w:t>
      </w:r>
    </w:p>
    <w:p w:rsidR="007B0922" w:rsidRPr="007B0922" w:rsidRDefault="007B0922" w:rsidP="007B0922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hyperlink r:id="rId22" w:history="1">
        <w:r w:rsidRPr="007B0922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Предыдущая</w:t>
        </w:r>
      </w:hyperlink>
      <w:hyperlink r:id="rId23" w:history="1">
        <w:r w:rsidRPr="007B0922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4</w:t>
        </w:r>
      </w:hyperlink>
      <w:hyperlink r:id="rId24" w:history="1">
        <w:r w:rsidRPr="007B0922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5</w:t>
        </w:r>
      </w:hyperlink>
      <w:hyperlink r:id="rId25" w:history="1">
        <w:r w:rsidRPr="007B0922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6</w:t>
        </w:r>
      </w:hyperlink>
      <w:hyperlink r:id="rId26" w:history="1">
        <w:r w:rsidRPr="007B0922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7</w:t>
        </w:r>
      </w:hyperlink>
      <w:hyperlink r:id="rId27" w:history="1">
        <w:r w:rsidRPr="007B0922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8</w:t>
        </w:r>
      </w:hyperlink>
      <w:hyperlink r:id="rId28" w:history="1">
        <w:r w:rsidRPr="007B0922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9</w:t>
        </w:r>
      </w:hyperlink>
      <w:hyperlink r:id="rId29" w:history="1">
        <w:r w:rsidRPr="007B0922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10</w:t>
        </w:r>
      </w:hyperlink>
      <w:r w:rsidRPr="007B0922">
        <w:rPr>
          <w:rFonts w:ascii="Verdana" w:eastAsia="Times New Roman" w:hAnsi="Verdana" w:cs="Times New Roman"/>
          <w:b/>
          <w:bCs/>
          <w:color w:val="FF0000"/>
          <w:sz w:val="17"/>
          <w:szCs w:val="17"/>
          <w:lang w:eastAsia="ru-RU"/>
        </w:rPr>
        <w:t>11</w:t>
      </w:r>
      <w:hyperlink r:id="rId30" w:history="1">
        <w:r w:rsidRPr="007B0922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12</w:t>
        </w:r>
      </w:hyperlink>
      <w:hyperlink r:id="rId31" w:history="1">
        <w:r w:rsidRPr="007B0922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13</w:t>
        </w:r>
      </w:hyperlink>
      <w:hyperlink r:id="rId32" w:history="1">
        <w:r w:rsidRPr="007B0922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14</w:t>
        </w:r>
      </w:hyperlink>
      <w:hyperlink r:id="rId33" w:history="1">
        <w:r w:rsidRPr="007B0922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15</w:t>
        </w:r>
      </w:hyperlink>
      <w:hyperlink r:id="rId34" w:history="1">
        <w:r w:rsidRPr="007B0922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16</w:t>
        </w:r>
      </w:hyperlink>
      <w:hyperlink r:id="rId35" w:history="1">
        <w:r w:rsidRPr="007B0922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17</w:t>
        </w:r>
      </w:hyperlink>
      <w:hyperlink r:id="rId36" w:history="1">
        <w:r w:rsidRPr="007B0922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18</w:t>
        </w:r>
      </w:hyperlink>
      <w:hyperlink r:id="rId37" w:history="1">
        <w:r w:rsidRPr="007B0922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19</w:t>
        </w:r>
      </w:hyperlink>
      <w:hyperlink r:id="rId38" w:history="1">
        <w:r w:rsidRPr="007B0922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Следующая</w:t>
        </w:r>
      </w:hyperlink>
    </w:p>
    <w:p w:rsidR="007B0922" w:rsidRPr="007B0922" w:rsidRDefault="007B0922" w:rsidP="007B0922">
      <w:pPr>
        <w:shd w:val="clear" w:color="auto" w:fill="FFFFFF"/>
        <w:spacing w:after="24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B092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</w:p>
    <w:tbl>
      <w:tblPr>
        <w:tblpPr w:leftFromText="45" w:rightFromText="45" w:vertAnchor="text"/>
        <w:tblW w:w="4500" w:type="dxa"/>
        <w:tblCellSpacing w:w="75" w:type="dxa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253"/>
        <w:gridCol w:w="3247"/>
      </w:tblGrid>
      <w:tr w:rsidR="007B0922" w:rsidRPr="007B0922" w:rsidTr="007B0922">
        <w:trPr>
          <w:tblCellSpacing w:w="75" w:type="dxa"/>
        </w:trPr>
        <w:tc>
          <w:tcPr>
            <w:tcW w:w="0" w:type="auto"/>
            <w:vAlign w:val="center"/>
            <w:hideMark/>
          </w:tcPr>
          <w:p w:rsidR="007B0922" w:rsidRPr="007B0922" w:rsidRDefault="007B0922" w:rsidP="007B092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hideMark/>
          </w:tcPr>
          <w:p w:rsidR="007B0922" w:rsidRPr="007B0922" w:rsidRDefault="007B0922" w:rsidP="007B092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7B092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pict/>
            </w:r>
            <w:r w:rsidRPr="007B0922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pict/>
            </w:r>
          </w:p>
        </w:tc>
      </w:tr>
    </w:tbl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Под химической обстановкой</w:t>
      </w: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понимают пространственные размеры и степень заражения химически опасными веществами воздуха, местности, водоемов, сооружений, техники и т.п. Оценка производится </w:t>
      </w:r>
      <w:r w:rsidRPr="007B092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методом прогнозирования</w:t>
      </w: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либо </w:t>
      </w:r>
      <w:r w:rsidRPr="007B092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по факту создавшейся ЧС</w:t>
      </w: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с последующими уточнениями по данным хим. разведки и др. наблюдениями, либо по сценариям виртуальной ЧС с наихудшими условиями ее протекания.</w:t>
      </w:r>
    </w:p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При оценке химической обстановки учитывается:</w:t>
      </w:r>
    </w:p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 тип СДЯВ,</w:t>
      </w:r>
    </w:p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 количество СДЯВ,</w:t>
      </w:r>
    </w:p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 район и время применения СДЯВ,</w:t>
      </w:r>
    </w:p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 площадь зоны заражения</w:t>
      </w:r>
    </w:p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 границы очагов химического поражения</w:t>
      </w:r>
    </w:p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 метеорологические условия местности,</w:t>
      </w:r>
    </w:p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 степень защищенности людей, укрытия техники и имущества.</w:t>
      </w:r>
    </w:p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Повреждение или разрушение хранилищ, цистерн, технологических емкостей и трубопроводов в результате аварий приводит к попаданию СДЯВ в атмосферу с последующим образованием зоны заражения. Двигаясь по направлению приземного ветра, облако СДЯВ может формировать зону заражения глубиной до десятков километров, вызывая опасность поражения незащищенных людей животных и растений. При этом </w:t>
      </w:r>
      <w:r w:rsidRPr="007B092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под зоной заражения понимается территория</w:t>
      </w: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в пределах которой будет проявляться поражающее действие СДЯВ, а под </w:t>
      </w:r>
      <w:r w:rsidRPr="007B092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глубиной зоны</w:t>
      </w: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- расстояние от источника заражения, которым являются поврежденные или разрушенные емкости и коммуникации, до границ зоны.</w:t>
      </w:r>
    </w:p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Оценка химической обстановки на объектах, имеющих СДЯВ, проводится с целью организации защиты людей, которые могут оказаться в очагах химического поражения.</w:t>
      </w:r>
    </w:p>
    <w:p w:rsidR="007B0922" w:rsidRPr="007B0922" w:rsidRDefault="007B0922" w:rsidP="007B0922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B092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7B0922">
        <w:rPr>
          <w:rFonts w:ascii="Times New Roman" w:eastAsia="Times New Roman" w:hAnsi="Times New Roman" w:cs="Times New Roman"/>
          <w:sz w:val="24"/>
          <w:szCs w:val="24"/>
          <w:lang w:eastAsia="ru-RU"/>
        </w:rPr>
        <w:pict/>
      </w:r>
      <w:r w:rsidRPr="007B0922">
        <w:rPr>
          <w:rFonts w:ascii="Times New Roman" w:eastAsia="Times New Roman" w:hAnsi="Times New Roman" w:cs="Times New Roman"/>
          <w:sz w:val="24"/>
          <w:szCs w:val="24"/>
          <w:lang w:eastAsia="ru-RU"/>
        </w:rPr>
        <w:pict/>
      </w:r>
    </w:p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Исходными данными при прогнозе химической обстановки являются:</w:t>
      </w:r>
    </w:p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· - метеорологические условия (степень вертикальной устойчивости воздуха, скорость приземного ветра и температура воздуха)</w:t>
      </w:r>
    </w:p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· - виды, количество и способ хранения АХОВ в емкостях на объекте</w:t>
      </w:r>
    </w:p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· - характер разлива АХОВ</w:t>
      </w:r>
    </w:p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Различают три вида вертикальной устойчивости атмосферного воздуха в приземном слое: инверсию, изотермию и конвекцию. При конвекции температура воздуха в приземном слое с высотой понижается, при инверсии возрастает, а при изотермии остается постоянной. При конвекции происходит интенсивное перемешивание слоев воздуха и как следствие рассеивание зараженного облака, а при инверсии эти процессы протекают значительно медленнее (определение зависит от </w:t>
      </w: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времени года, суток, облачного покрова, снежного или травяного покрова и т.д.). При оценке виртуальной ЧС метеоусловия берутся наихудшими для возможных последствий (инверсия (устойчивость воздуха), скорость ветра – 1 м/с, температура максимальная в данной местности в моделируемый сезон)</w:t>
      </w:r>
    </w:p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Опасные химические и отравляющие вещества, в отличие от ионизирующего излучения, можно определить органолептически. Они имеют запах, цвет, вкус и т. д., т. е. их присутствие в окружающей природной среде можно обнаружить по внешним признакам. Однако высокая токсичность ОХВ и ОВ исключает эту возможность. При первых признаках присутствия в воздухе или на местности ОХВ и ОВ необходимо немедленно надеть противогаз и только после этого с помощью средств химической разведки определять наличие этих веществ.</w:t>
      </w:r>
    </w:p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Основными методами индикации ОХА и ОВ являются:</w:t>
      </w:r>
    </w:p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· Ионизационный;</w:t>
      </w:r>
    </w:p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· Люминесцентный;</w:t>
      </w:r>
    </w:p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· Химический;</w:t>
      </w:r>
    </w:p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· Биохимический.</w:t>
      </w:r>
    </w:p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 основе этих методов разработаны различные приборы. Они подразделяются на войсковые и специальные.</w:t>
      </w:r>
    </w:p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Основным прибором химической разведки</w:t>
      </w: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является войсковой прибор химической разведки (ВПХР), а также аналогичный ему по тактико-техническим характеристикам и принципу действия полуавтоматический прибор химической разведки ППРХ. Для обнаружения СДЯВ используются различного вида в зависимости от характера производства промышленные приборы. Кроме того, некоторые объекты народного хозяйства могут быть оснащены приборами химической разведки медицинской и ветеринарной службы (ПХР-МБ).</w:t>
      </w:r>
    </w:p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Принцип обнаружения и определения ОВ приборами химической разведки основан на изменении окраски индикаторов при взаимодействии их с ОВ. В зависимости от того, какой был взят индикатор и как он изменил окраску, определяют тип ОВ, а сравнение интенсивности полученной окраски с цветным эталоном позволяет судить о приблизительной концентрации ОВ в воздухе или о плотности заражения.</w:t>
      </w:r>
    </w:p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  <w:t>Вопросы для самоконтроля:</w:t>
      </w:r>
    </w:p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1. Что такое радиация?</w:t>
      </w:r>
    </w:p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2. Признаки лучевой болезни.</w:t>
      </w:r>
    </w:p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3. Основным прибором химической разведки</w:t>
      </w:r>
    </w:p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Список рекомендуемой литературы</w:t>
      </w:r>
    </w:p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1. О гражданской защите. Закон Республики Казахстан от 11 апреля 2014 года № 189 – V ЗРК / Информационно-правовая система нормативных правовых актов Республики казахстан «Әділет»http//adilet.zan.kz</w:t>
      </w:r>
    </w:p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2. Безопасность жизнедеятельности/под ред.О.Н.Русака. – СПб.: Лань, М.: Омега-Л, 2004.-448 с.</w:t>
      </w:r>
    </w:p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3. Безопасность и защита населения в чрезвычайных ситуациях: учебник для населения// Н.АКрючек, В.Н.Латчук, Мирнов С.К.; под общ, ред.Г.Н.Кириллова. –М.: Изд-во НЦ ЭНАС, 2003.-264 с.</w:t>
      </w:r>
    </w:p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4. Безопасность жизнедеятельности: Учебник для вузов/ Л.А.Михайлов, В.П.Соломин, А.Л.Михайлов, А.В.Старостенко и др.-СПб.: Питер, 2006.-302 с.</w:t>
      </w:r>
    </w:p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5. Безопасность жизнедеятельности. Защита населения и территории при ЧС: уч. Пособие/В.В.Денисов, И.А.Денисова, В.В.Гутенев, О.И.Монтвилла. – М.: Март, Ростовн/Д:МарТ, 2003.-608 с.</w:t>
      </w:r>
    </w:p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6. Безопасность жизнедеятельности. Безопасность в чрезвычайных ситуациях природного и техногенного характера: учеб.пособие/В.А.Акимов, Ю.Л.Воробьев, М.И.Фадеев и др.- изд.2-е, перераб.-М.: Высшая школа, 2007.-592 с.</w:t>
      </w:r>
    </w:p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7. Аварии и катастрофы. Предупреждение и ликвидация последствий. Учебное пособие: в 6 т./Под редакцией В.А.Котляревского. – М.: АСВ, 2003</w:t>
      </w:r>
    </w:p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8. Безопасность жизнедеятельности. Безопасность технологических процессов и производств: учебн.пособие для вузов/П.П.Кукин, В.Л.Лапин, Н.Л.Пономарев и др.-4-е изд, перераб.-М.: Высшая школа, 2007.-335с.: ил</w:t>
      </w:r>
    </w:p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9. Балабас Л.Х. основы жизнедеятельности: учебник/ Л.Х.Балабас, Ж.К.Аманжолов.-Астана: Фолиант, 2008.-232с.</w:t>
      </w:r>
    </w:p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10. Абдрахманов С.К. О государственной системе предупреждения и ликвидации чрезвычайных ситуаций в Республике Казахстан. Информационно-справочное пособие.-Алматы, 2008.-375</w:t>
      </w:r>
    </w:p>
    <w:p w:rsidR="007B0922" w:rsidRPr="007B0922" w:rsidRDefault="007B0922" w:rsidP="007B0922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7B0922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11.Сборник нормативных правовых актов о чрезвычайных ситуациях природного и техногенного характера. Книга 1. Законы Республики Казахстан</w:t>
      </w:r>
    </w:p>
    <w:p w:rsidR="007B0922" w:rsidRDefault="007B0922">
      <w:bookmarkStart w:id="0" w:name="_GoBack"/>
      <w:bookmarkEnd w:id="0"/>
    </w:p>
    <w:sectPr w:rsidR="007B09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F26"/>
    <w:rsid w:val="006A5452"/>
    <w:rsid w:val="007B0922"/>
    <w:rsid w:val="00B52451"/>
    <w:rsid w:val="00BB6D2D"/>
    <w:rsid w:val="00F20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476352">
      <w:bodyDiv w:val="1"/>
      <w:marLeft w:val="150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093837">
          <w:marLeft w:val="0"/>
          <w:marRight w:val="0"/>
          <w:marTop w:val="0"/>
          <w:marBottom w:val="0"/>
          <w:divBdr>
            <w:top w:val="single" w:sz="6" w:space="0" w:color="0088FF"/>
            <w:left w:val="single" w:sz="6" w:space="0" w:color="0088FF"/>
            <w:bottom w:val="single" w:sz="6" w:space="0" w:color="0088FF"/>
            <w:right w:val="single" w:sz="6" w:space="0" w:color="0088FF"/>
          </w:divBdr>
          <w:divsChild>
            <w:div w:id="1184591046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</w:divsChild>
    </w:div>
    <w:div w:id="1617830906">
      <w:bodyDiv w:val="1"/>
      <w:marLeft w:val="150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91506">
          <w:marLeft w:val="0"/>
          <w:marRight w:val="0"/>
          <w:marTop w:val="0"/>
          <w:marBottom w:val="0"/>
          <w:divBdr>
            <w:top w:val="single" w:sz="6" w:space="0" w:color="0088FF"/>
            <w:left w:val="single" w:sz="6" w:space="0" w:color="0088FF"/>
            <w:bottom w:val="single" w:sz="6" w:space="0" w:color="0088FF"/>
            <w:right w:val="single" w:sz="6" w:space="0" w:color="0088FF"/>
          </w:divBdr>
          <w:divsChild>
            <w:div w:id="1597708836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megaobuchalka.ru/8/43620.html" TargetMode="External"/><Relationship Id="rId18" Type="http://schemas.openxmlformats.org/officeDocument/2006/relationships/hyperlink" Target="http://megaobuchalka.ru/8/43625.html" TargetMode="External"/><Relationship Id="rId26" Type="http://schemas.openxmlformats.org/officeDocument/2006/relationships/hyperlink" Target="http://megaobuchalka.ru/8/43616.html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://megaobuchalka.ru/8/43620.html" TargetMode="External"/><Relationship Id="rId34" Type="http://schemas.openxmlformats.org/officeDocument/2006/relationships/hyperlink" Target="http://megaobuchalka.ru/8/43625.html" TargetMode="External"/><Relationship Id="rId7" Type="http://schemas.openxmlformats.org/officeDocument/2006/relationships/hyperlink" Target="http://megaobuchalka.ru/8/43612.html" TargetMode="External"/><Relationship Id="rId12" Type="http://schemas.openxmlformats.org/officeDocument/2006/relationships/hyperlink" Target="http://megaobuchalka.ru/8/43618.html" TargetMode="External"/><Relationship Id="rId17" Type="http://schemas.openxmlformats.org/officeDocument/2006/relationships/hyperlink" Target="http://megaobuchalka.ru/8/43624.html" TargetMode="External"/><Relationship Id="rId25" Type="http://schemas.openxmlformats.org/officeDocument/2006/relationships/hyperlink" Target="http://megaobuchalka.ru/8/43615.html" TargetMode="External"/><Relationship Id="rId33" Type="http://schemas.openxmlformats.org/officeDocument/2006/relationships/hyperlink" Target="http://megaobuchalka.ru/8/43624.html" TargetMode="External"/><Relationship Id="rId38" Type="http://schemas.openxmlformats.org/officeDocument/2006/relationships/hyperlink" Target="http://megaobuchalka.ru/8/43621.htm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megaobuchalka.ru/8/43623.html" TargetMode="External"/><Relationship Id="rId20" Type="http://schemas.openxmlformats.org/officeDocument/2006/relationships/hyperlink" Target="http://megaobuchalka.ru/8/43627.html" TargetMode="External"/><Relationship Id="rId29" Type="http://schemas.openxmlformats.org/officeDocument/2006/relationships/hyperlink" Target="http://megaobuchalka.ru/8/43619.html" TargetMode="External"/><Relationship Id="rId1" Type="http://schemas.openxmlformats.org/officeDocument/2006/relationships/styles" Target="styles.xml"/><Relationship Id="rId6" Type="http://schemas.openxmlformats.org/officeDocument/2006/relationships/hyperlink" Target="http://megaobuchalka.ru/8/43611.html" TargetMode="External"/><Relationship Id="rId11" Type="http://schemas.openxmlformats.org/officeDocument/2006/relationships/hyperlink" Target="http://megaobuchalka.ru/8/43617.html" TargetMode="External"/><Relationship Id="rId24" Type="http://schemas.openxmlformats.org/officeDocument/2006/relationships/hyperlink" Target="http://megaobuchalka.ru/8/43613.html" TargetMode="External"/><Relationship Id="rId32" Type="http://schemas.openxmlformats.org/officeDocument/2006/relationships/hyperlink" Target="http://megaobuchalka.ru/8/43623.html" TargetMode="External"/><Relationship Id="rId37" Type="http://schemas.openxmlformats.org/officeDocument/2006/relationships/hyperlink" Target="http://megaobuchalka.ru/8/43628.html" TargetMode="External"/><Relationship Id="rId40" Type="http://schemas.openxmlformats.org/officeDocument/2006/relationships/theme" Target="theme/theme1.xml"/><Relationship Id="rId5" Type="http://schemas.openxmlformats.org/officeDocument/2006/relationships/hyperlink" Target="http://megaobuchalka.ru/8/43618.html" TargetMode="External"/><Relationship Id="rId15" Type="http://schemas.openxmlformats.org/officeDocument/2006/relationships/hyperlink" Target="http://megaobuchalka.ru/8/43622.html" TargetMode="External"/><Relationship Id="rId23" Type="http://schemas.openxmlformats.org/officeDocument/2006/relationships/hyperlink" Target="http://megaobuchalka.ru/8/43612.html" TargetMode="External"/><Relationship Id="rId28" Type="http://schemas.openxmlformats.org/officeDocument/2006/relationships/hyperlink" Target="http://megaobuchalka.ru/8/43618.html" TargetMode="External"/><Relationship Id="rId36" Type="http://schemas.openxmlformats.org/officeDocument/2006/relationships/hyperlink" Target="http://megaobuchalka.ru/8/43627.html" TargetMode="External"/><Relationship Id="rId10" Type="http://schemas.openxmlformats.org/officeDocument/2006/relationships/hyperlink" Target="http://megaobuchalka.ru/8/43616.html" TargetMode="External"/><Relationship Id="rId19" Type="http://schemas.openxmlformats.org/officeDocument/2006/relationships/hyperlink" Target="http://megaobuchalka.ru/8/43626.html" TargetMode="External"/><Relationship Id="rId31" Type="http://schemas.openxmlformats.org/officeDocument/2006/relationships/hyperlink" Target="http://megaobuchalka.ru/8/43622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egaobuchalka.ru/8/43615.html" TargetMode="External"/><Relationship Id="rId14" Type="http://schemas.openxmlformats.org/officeDocument/2006/relationships/hyperlink" Target="http://megaobuchalka.ru/8/43621.html" TargetMode="External"/><Relationship Id="rId22" Type="http://schemas.openxmlformats.org/officeDocument/2006/relationships/hyperlink" Target="http://megaobuchalka.ru/8/43619.html" TargetMode="External"/><Relationship Id="rId27" Type="http://schemas.openxmlformats.org/officeDocument/2006/relationships/hyperlink" Target="http://megaobuchalka.ru/8/43617.html" TargetMode="External"/><Relationship Id="rId30" Type="http://schemas.openxmlformats.org/officeDocument/2006/relationships/hyperlink" Target="http://megaobuchalka.ru/8/43621.html" TargetMode="External"/><Relationship Id="rId35" Type="http://schemas.openxmlformats.org/officeDocument/2006/relationships/hyperlink" Target="http://megaobuchalka.ru/8/43626.html" TargetMode="External"/><Relationship Id="rId8" Type="http://schemas.openxmlformats.org/officeDocument/2006/relationships/hyperlink" Target="http://megaobuchalka.ru/8/43613.html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2239</Words>
  <Characters>12764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2016-11-22T17:25:00Z</dcterms:created>
  <dcterms:modified xsi:type="dcterms:W3CDTF">2016-11-22T17:35:00Z</dcterms:modified>
</cp:coreProperties>
</file>